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0"/>
          <w:szCs w:val="40"/>
          <w:lang w:eastAsia="zh-CN"/>
        </w:rPr>
      </w:pPr>
    </w:p>
    <w:p>
      <w:pPr>
        <w:ind w:firstLine="800" w:firstLineChars="200"/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0"/>
          <w:szCs w:val="40"/>
          <w:lang w:eastAsia="zh-CN"/>
        </w:rPr>
      </w:pPr>
    </w:p>
    <w:p>
      <w:pPr>
        <w:ind w:firstLine="800" w:firstLineChars="200"/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0"/>
          <w:szCs w:val="40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0"/>
          <w:szCs w:val="40"/>
          <w:lang w:eastAsia="zh-CN"/>
        </w:rPr>
        <w:t>临汾市肉类产品专项整治长效机制的指导意见解读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</w:rPr>
        <w:t>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深入开展严厉打击全市肉类产品违法犯罪工作，切实维护我市肉类产品市场的正常秩序，确保人民群众吃上“放心肉”，结合行业实际，我局制定了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临汾市肉类产品专项整治长效机制的指导意见</w:t>
      </w:r>
      <w:r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本指导意见共分三个部分</w:t>
      </w:r>
      <w:r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一</w:t>
      </w:r>
      <w:r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</w:rPr>
        <w:t>、目标任务；二、工作机制；三是工作要求。其中第二部分工作机制中详细明确了三项工作机制，分别为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源头治理和全产业链监管结合工作机制</w:t>
      </w:r>
      <w:r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屠宰监管联防联控机制</w:t>
      </w:r>
      <w:r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对历史私屠滥宰窝点不定期回访机制</w:t>
      </w:r>
      <w:r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</w:rPr>
        <w:t>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sz w:val="32"/>
          <w:szCs w:val="32"/>
        </w:rPr>
        <w:t>该指导意见的出台完善了肉类产品整治工作的工作机制，明确了农业农村部门、畜牧兽医部门、行政执法部门及乡镇的工作职责，为之后的工作提供了制度保障。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br w:type="textWrapping"/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br w:type="textWrapping"/>
      </w:r>
      <w:r>
        <w:rPr>
          <w:rFonts w:hint="eastAsi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Ubuntu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Ubunt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Ubuntu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E51B1"/>
    <w:rsid w:val="3E6FDCED"/>
    <w:rsid w:val="B77FE4F6"/>
    <w:rsid w:val="FF7E51B1"/>
    <w:rsid w:val="FFDF8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2025-01-15T16:28:00Z</dcterms:created>
  <dc:creator>baixin</dc:creator>
  <cp:lastModifiedBy>kylin</cp:lastModifiedBy>
  <dcterms:modified xsi:type="dcterms:W3CDTF">2025-01-16T09:14:56Z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