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 xmlns:a="http://schemas.openxmlformats.org/drawingml/2006/main" xmlns:wps="http://schemas.microsoft.com/office/word/2010/wordprocessingShape" xmlns:wp="http://schemas.openxmlformats.org/drawingml/2006/wordprocessingDrawing" xmlns:pic="http://schemas.openxmlformats.org/drawingml/2006/picture" xmlns:mc="http://schemas.openxmlformats.org/markup-compatibility/2006" xmlns:wpg="http://schemas.microsoft.com/office/word/2010/wordprocessingGroup" xmlns:wpc="http://schemas.microsoft.com/office/word/2010/wordprocessingCanvas" xmlns:w10="urn:schemas-microsoft-com:office:word" xmlns:w14="http://schemas.microsoft.com/office/word/2010/wordml" xmlns:w15="http://schemas.microsoft.com/office/word/2012/wordml" xmlns:a14="http://schemas.microsoft.com/office/drawing/2010/main" mc:Ignorable="w14 w15">
  <w:body>
    <w:p>
      <w:pPr>
        <w:ind w:firstLineChars="100" w:firstLine="440"/>
        <w:rPr>
          <w:rFonts w:ascii="方正小标宋_GBK" w:eastAsia="方正小标宋_GBK" w:cs="方正小标宋_GBK"/>
          <w:sz w:val="44"/>
          <w:szCs w:val="44"/>
        </w:rPr>
      </w:pPr>
    </w:p>
    <w:p>
      <w:pPr>
        <w:ind w:firstLineChars="100" w:firstLine="440"/>
        <w:rPr>
          <w:rFonts w:ascii="方正小标宋_GBK" w:eastAsia="方正小标宋_GBK" w:cs="方正小标宋_GBK"/>
          <w:sz w:val="44"/>
          <w:szCs w:val="44"/>
        </w:rPr>
      </w:pPr>
      <w:r>
        <w:rPr>
          <w:rFonts w:ascii="方正小标宋_GBK" w:eastAsia="方正小标宋_GBK" w:cs="方正小标宋_GBK" w:hint="eastAsia"/>
          <w:sz w:val="44"/>
          <w:szCs w:val="44"/>
        </w:rPr>
        <w:t>202</w:t>
      </w:r>
      <w:r>
        <w:rPr>
          <w:rFonts w:ascii="方正小标宋_GBK" w:eastAsia="方正小标宋_GBK" w:cs="方正小标宋_GBK"/>
          <w:sz w:val="44"/>
          <w:szCs w:val="44"/>
        </w:rPr>
        <w:t>4</w:t>
      </w:r>
      <w:r>
        <w:rPr>
          <w:rFonts w:ascii="方正小标宋_GBK" w:eastAsia="方正小标宋_GBK" w:cs="方正小标宋_GBK" w:hint="eastAsia"/>
          <w:sz w:val="44"/>
          <w:szCs w:val="44"/>
        </w:rPr>
        <w:t>年度行政执法数据统计分析报告</w:t>
      </w:r>
    </w:p>
    <w:p>
      <w:pPr>
        <w:ind w:firstLineChars="100" w:firstLine="440"/>
        <w:rPr>
          <w:rFonts w:ascii="方正小标宋_GBK" w:eastAsia="方正小标宋_GBK" w:cs="方正小标宋_GBK" w:hint="eastAsia"/>
          <w:sz w:val="44"/>
          <w:szCs w:val="44"/>
        </w:rPr>
      </w:pPr>
    </w:p>
    <w:p>
      <w:pPr>
        <w:numPr>
          <w:ilvl w:val="0"/>
          <w:numId w:val="1"/>
        </w:numPr>
        <w:ind w:left="0" w:firstLineChars="200" w:firstLine="640"/>
        <w:rPr>
          <w:rFonts w:ascii="方正小标宋_GBK" w:eastAsia="方正小标宋_GBK" w:cs="方正小标宋_GBK" w:hint="eastAsia"/>
          <w:sz w:val="32"/>
          <w:szCs w:val="32"/>
        </w:rPr>
      </w:pPr>
      <w:r>
        <w:rPr>
          <w:rFonts w:ascii="方正小标宋_GBK" w:eastAsia="方正小标宋_GBK" w:cs="方正小标宋_GBK" w:hint="eastAsia"/>
          <w:sz w:val="32"/>
          <w:szCs w:val="32"/>
        </w:rPr>
        <w:t>基本情况</w:t>
      </w:r>
    </w:p>
    <w:p>
      <w:pPr>
        <w:ind w:left="0" w:firstLineChars="200" w:firstLine="640"/>
        <w:rPr>
          <w:rFonts w:ascii="方正仿宋_GBK" w:eastAsia="方正仿宋_GBK" w:cs="方正仿宋_GBK"/>
          <w:sz w:val="32"/>
          <w:szCs w:val="32"/>
        </w:rPr>
      </w:pPr>
      <w:r>
        <w:rPr>
          <w:rFonts w:ascii="方正仿宋_GBK" w:eastAsia="方正仿宋_GBK" w:cs="方正仿宋_GBK" w:hint="eastAsia"/>
          <w:sz w:val="32"/>
          <w:szCs w:val="32"/>
        </w:rPr>
        <w:t>202</w:t>
      </w:r>
      <w:r>
        <w:rPr>
          <w:rFonts w:ascii="方正仿宋_GBK" w:eastAsia="方正仿宋_GBK" w:cs="方正仿宋_GBK"/>
          <w:sz w:val="32"/>
          <w:szCs w:val="32"/>
        </w:rPr>
        <w:t>4</w:t>
      </w:r>
      <w:r>
        <w:rPr>
          <w:rFonts w:ascii="方正仿宋_GBK" w:eastAsia="方正仿宋_GBK" w:cs="方正仿宋_GBK" w:hint="eastAsia"/>
          <w:sz w:val="32"/>
          <w:szCs w:val="32"/>
        </w:rPr>
        <w:t>年度市农业综合行政执法队共办理行政执法案件</w:t>
      </w:r>
      <w:r>
        <w:rPr>
          <w:rFonts w:ascii="方正仿宋_GBK" w:eastAsia="方正仿宋_GBK" w:cs="方正仿宋_GBK"/>
          <w:sz w:val="32"/>
          <w:szCs w:val="32"/>
        </w:rPr>
        <w:t>60</w:t>
      </w:r>
      <w:r>
        <w:rPr>
          <w:rFonts w:ascii="方正仿宋_GBK" w:eastAsia="方正仿宋_GBK" w:cs="方正仿宋_GBK" w:hint="eastAsia"/>
          <w:sz w:val="32"/>
          <w:szCs w:val="32"/>
        </w:rPr>
        <w:t>起，</w:t>
      </w:r>
      <w:r>
        <w:rPr>
          <w:rFonts w:ascii="方正仿宋_GBK" w:eastAsia="方正仿宋_GBK" w:cs="方正仿宋_GBK"/>
          <w:sz w:val="32"/>
          <w:szCs w:val="32"/>
        </w:rPr>
        <w:t>涉案货值金额53.13286万元，罚没款金额69.394236万元。案件涵盖农业综合行政执法七大种类，</w:t>
      </w:r>
      <w:r>
        <w:rPr>
          <w:rFonts w:ascii="方正仿宋_GBK" w:eastAsia="方正仿宋_GBK" w:cs="方正仿宋_GBK" w:hint="eastAsia"/>
          <w:sz w:val="32"/>
          <w:szCs w:val="32"/>
        </w:rPr>
        <w:t>其中</w:t>
      </w:r>
      <w:r>
        <w:rPr>
          <w:rFonts w:ascii="方正仿宋_GBK" w:eastAsia="方正仿宋_GBK" w:cs="方正仿宋_GBK"/>
          <w:sz w:val="32"/>
          <w:szCs w:val="32"/>
        </w:rPr>
        <w:t>种子案21起，农药案8起，肥料案5起，兽药案6起，农产品案6起，动物卫生监督案13起，私屠滥宰1起。</w:t>
      </w:r>
    </w:p>
    <w:p>
      <w:pPr>
        <w:ind w:left="0" w:firstLineChars="200" w:firstLine="640"/>
        <w:rPr>
          <w:rFonts w:ascii="方正小标宋_GBK" w:eastAsia="方正小标宋_GBK" w:cs="方正小标宋_GBK"/>
          <w:sz w:val="32"/>
          <w:szCs w:val="32"/>
        </w:rPr>
      </w:pPr>
      <w:r>
        <w:rPr>
          <w:rFonts w:ascii="方正小标宋_GBK" w:eastAsia="方正小标宋_GBK" w:cs="方正小标宋_GBK"/>
          <w:sz w:val="32"/>
          <w:szCs w:val="32"/>
        </w:rPr>
        <w:t>二、案件来源</w:t>
      </w:r>
    </w:p>
    <w:p>
      <w:pPr>
        <w:ind w:firstLineChars="200" w:firstLine="640"/>
        <w:rPr>
          <w:rFonts w:ascii="方正仿宋_GBK" w:eastAsia="方正仿宋_GBK" w:cs="方正仿宋_GBK"/>
          <w:sz w:val="32"/>
          <w:szCs w:val="32"/>
        </w:rPr>
      </w:pPr>
      <w:r>
        <w:rPr>
          <w:rFonts w:ascii="方正仿宋_GBK" w:eastAsia="方正仿宋_GBK" w:cs="方正仿宋_GBK"/>
          <w:sz w:val="32"/>
          <w:szCs w:val="32"/>
        </w:rPr>
        <w:t>42件为执法检查中发现，8件为线索移送案件，8件为热线投诉或群众，1件为监督抽查，1件案件办理过程中发现案件。</w:t>
      </w:r>
    </w:p>
    <w:p>
      <w:pPr>
        <w:ind w:leftChars="200" w:left="420" w:firstLineChars="100" w:firstLine="320"/>
        <w:rPr>
          <w:rFonts w:ascii="方正小标宋_GBK" w:eastAsia="方正小标宋_GBK" w:cs="方正小标宋_GBK"/>
          <w:sz w:val="32"/>
          <w:szCs w:val="32"/>
        </w:rPr>
      </w:pPr>
      <w:r>
        <w:rPr>
          <w:rFonts w:ascii="方正小标宋_GBK" w:eastAsia="方正小标宋_GBK" w:cs="方正小标宋_GBK"/>
          <w:sz w:val="32"/>
          <w:szCs w:val="32"/>
        </w:rPr>
        <w:t>三、案件分析</w:t>
      </w:r>
    </w:p>
    <w:p>
      <w:pPr>
        <w:ind w:firstLineChars="200" w:firstLine="640"/>
        <w:rPr>
          <w:rFonts w:ascii="方正仿宋_GBK" w:eastAsia="方正仿宋_GBK" w:cs="方正仿宋_GBK"/>
          <w:sz w:val="32"/>
          <w:szCs w:val="32"/>
          <w:lang w:eastAsia="zh-CN"/>
        </w:rPr>
      </w:pPr>
      <w:r>
        <w:rPr>
          <w:rFonts w:ascii="方正楷体_GBK" w:eastAsia="方正楷体_GBK" w:cs="方正楷体_GBK"/>
          <w:b w:val="0"/>
          <w:bCs w:val="0"/>
          <w:sz w:val="32"/>
          <w:szCs w:val="32"/>
          <w:lang w:eastAsia="zh-CN"/>
        </w:rPr>
        <w:t>（一）</w:t>
      </w:r>
      <w:r>
        <w:rPr>
          <w:rFonts w:ascii="方正楷体_GBK" w:eastAsia="方正楷体_GBK" w:cs="方正楷体_GBK" w:hint="eastAsia"/>
          <w:b w:val="0"/>
          <w:bCs w:val="0"/>
          <w:sz w:val="32"/>
          <w:szCs w:val="32"/>
          <w:lang w:eastAsia="zh-CN"/>
        </w:rPr>
        <w:t>种子案件</w:t>
      </w:r>
      <w:r>
        <w:rPr>
          <w:rFonts w:ascii="方正楷体_GBK" w:eastAsia="方正楷体_GBK" w:cs="方正楷体_GBK"/>
          <w:b w:val="0"/>
          <w:bCs w:val="0"/>
          <w:sz w:val="32"/>
          <w:szCs w:val="32"/>
          <w:lang w:eastAsia="zh-CN"/>
        </w:rPr>
        <w:t>依然</w:t>
      </w:r>
      <w:r>
        <w:rPr>
          <w:rFonts w:ascii="方正楷体_GBK" w:eastAsia="方正楷体_GBK" w:cs="方正楷体_GBK" w:hint="eastAsia"/>
          <w:b w:val="0"/>
          <w:bCs w:val="0"/>
          <w:sz w:val="32"/>
          <w:szCs w:val="32"/>
          <w:lang w:eastAsia="zh-CN"/>
        </w:rPr>
        <w:t>居多。</w:t>
      </w:r>
      <w:r>
        <w:rPr>
          <w:rFonts w:ascii="方正仿宋_GBK" w:eastAsia="方正仿宋_GBK" w:cs="方正仿宋_GBK"/>
          <w:b w:val="0"/>
          <w:bCs w:val="0"/>
          <w:sz w:val="32"/>
          <w:szCs w:val="32"/>
          <w:lang w:eastAsia="zh-CN"/>
        </w:rPr>
        <w:t>2024年我市查出的种子案件为21件，占到全部案件的35%，其中</w:t>
      </w:r>
      <w:r>
        <w:rPr>
          <w:rFonts w:ascii="方正仿宋_GBK" w:eastAsia="方正仿宋_GBK" w:cs="方正仿宋_GBK" w:hint="eastAsia"/>
          <w:b w:val="0"/>
          <w:bCs w:val="0"/>
          <w:sz w:val="32"/>
          <w:szCs w:val="32"/>
          <w:lang w:val="en-US" w:eastAsia="zh-CN"/>
        </w:rPr>
        <w:t>假</w:t>
      </w:r>
      <w:r>
        <w:rPr>
          <w:rFonts w:ascii="方正仿宋_GBK" w:eastAsia="方正仿宋_GBK" w:cs="方正仿宋_GBK"/>
          <w:b w:val="0"/>
          <w:bCs w:val="0"/>
          <w:sz w:val="32"/>
          <w:szCs w:val="32"/>
          <w:lang w:eastAsia="zh-CN"/>
        </w:rPr>
        <w:t>种子案件3起，</w:t>
      </w:r>
      <w:r>
        <w:rPr>
          <w:rFonts w:ascii="方正仿宋_GBK" w:eastAsia="方正仿宋_GBK" w:cs="方正仿宋_GBK"/>
          <w:sz w:val="32"/>
          <w:szCs w:val="32"/>
          <w:lang w:eastAsia="zh-CN"/>
        </w:rPr>
        <w:t>应审未审</w:t>
      </w:r>
      <w:r>
        <w:rPr>
          <w:rFonts w:ascii="方正仿宋_GBK" w:eastAsia="方正仿宋_GBK" w:cs="方正仿宋_GBK" w:hint="eastAsia"/>
          <w:sz w:val="32"/>
          <w:szCs w:val="32"/>
          <w:lang w:val="en-US" w:eastAsia="zh-CN"/>
        </w:rPr>
        <w:t>种子案件</w:t>
      </w:r>
      <w:r>
        <w:rPr>
          <w:rFonts w:ascii="方正仿宋_GBK" w:eastAsia="方正仿宋_GBK" w:cs="方正仿宋_GBK"/>
          <w:sz w:val="32"/>
          <w:szCs w:val="32"/>
          <w:lang w:eastAsia="zh-CN"/>
        </w:rPr>
        <w:t>3起，较去年有所减少。假种子案件以执法检查为主，体现了执法人员坚守农资打假护粮安的信心和决心。</w:t>
      </w:r>
    </w:p>
    <w:p>
      <w:pPr>
        <w:ind w:firstLineChars="200" w:firstLine="640"/>
        <w:rPr>
          <w:rFonts w:ascii="方正仿宋_GBK" w:eastAsia="方正仿宋_GBK" w:cs="方正仿宋_GBK"/>
          <w:sz w:val="32"/>
          <w:szCs w:val="32"/>
          <w:lang w:eastAsia="zh-CN"/>
        </w:rPr>
      </w:pPr>
      <w:r>
        <w:rPr>
          <w:rFonts w:ascii="方正楷体_GBK" w:eastAsia="方正楷体_GBK" w:cs="方正楷体_GBK" w:hint="eastAsia"/>
          <w:sz w:val="32"/>
          <w:szCs w:val="32"/>
          <w:lang w:eastAsia="zh-CN"/>
        </w:rPr>
        <w:t>（二）农药案件有所增加</w:t>
      </w:r>
      <w:r>
        <w:rPr>
          <w:rFonts w:ascii="方正仿宋_GBK" w:eastAsia="方正仿宋_GBK" w:cs="方正仿宋_GBK"/>
          <w:sz w:val="32"/>
          <w:szCs w:val="32"/>
          <w:lang w:eastAsia="zh-CN"/>
        </w:rPr>
        <w:t>。2024年8个案件其中有2个为假农药案，2个无证经营蚊香案因情节轻微给予不予处罚，落实了首为不罚的柔性执法原则，彰显了农业执法的尺度和温度。</w:t>
      </w:r>
    </w:p>
    <w:p>
      <w:pPr>
        <w:ind w:firstLineChars="200" w:firstLine="640"/>
        <w:rPr>
          <w:rFonts w:ascii="方正仿宋_GBK" w:eastAsia="方正仿宋_GBK" w:cs="方正仿宋_GBK"/>
          <w:sz w:val="32"/>
          <w:szCs w:val="32"/>
          <w:lang w:eastAsia="zh-CN"/>
        </w:rPr>
      </w:pPr>
      <w:r>
        <w:rPr>
          <w:rFonts w:ascii="方正楷体_GBK" w:eastAsia="方正楷体_GBK" w:cs="方正楷体_GBK" w:hint="eastAsia"/>
          <w:sz w:val="32"/>
          <w:szCs w:val="32"/>
          <w:lang w:eastAsia="zh-CN"/>
        </w:rPr>
        <w:t>（三）</w:t>
      </w:r>
      <w:r>
        <w:rPr>
          <w:rFonts w:ascii="方正楷体_GBK" w:eastAsia="方正楷体_GBK" w:cs="方正楷体_GBK"/>
          <w:sz w:val="32"/>
          <w:szCs w:val="32"/>
          <w:lang w:eastAsia="zh-CN"/>
        </w:rPr>
        <w:t>动物卫生监督案中应检未检和私屠滥宰是查处的重点。</w:t>
      </w:r>
      <w:r>
        <w:rPr>
          <w:rFonts w:ascii="方正仿宋_GBK" w:eastAsia="方正仿宋_GBK" w:cs="方正仿宋_GBK"/>
          <w:sz w:val="32"/>
          <w:szCs w:val="32"/>
          <w:lang w:eastAsia="zh-CN"/>
        </w:rPr>
        <w:t>2024我市开展严厉打击肉类产品违法犯罪专项整治行动，查处3起系列关联案，即未取得畜禽定点屠宰证书屠宰活鸡、为私屠滥宰提供场地、运输应检未检的动物产品的系列关联案，查处经营应检未检动物、运输应检未检动物、未经备案从事动物运输的系列关联案，查处运输应检未检动物、驾驶未经备案的车辆从事动物运输案的系列关联案。</w:t>
      </w:r>
    </w:p>
    <w:p>
      <w:pPr>
        <w:ind w:firstLineChars="200" w:firstLine="640"/>
        <w:rPr>
          <w:rFonts w:ascii="方正仿宋_GBK" w:eastAsia="方正仿宋_GBK" w:cs="方正仿宋_GBK"/>
          <w:sz w:val="32"/>
          <w:szCs w:val="32"/>
        </w:rPr>
      </w:pPr>
      <w:r>
        <w:rPr>
          <w:rFonts w:ascii="方正楷体_GBK" w:eastAsia="方正楷体_GBK" w:cs="方正楷体_GBK" w:hint="eastAsia"/>
          <w:sz w:val="32"/>
          <w:szCs w:val="32"/>
          <w:lang w:eastAsia="zh-CN"/>
        </w:rPr>
        <w:t>（四）</w:t>
      </w:r>
      <w:r>
        <w:rPr>
          <w:rFonts w:ascii="方正楷体_GBK" w:eastAsia="方正楷体_GBK" w:cs="方正楷体_GBK"/>
          <w:sz w:val="32"/>
          <w:szCs w:val="32"/>
          <w:lang w:eastAsia="zh-CN"/>
        </w:rPr>
        <w:t>农产品质量案件较多。</w:t>
      </w:r>
      <w:r>
        <w:rPr>
          <w:rFonts w:ascii="方正仿宋_GBK" w:eastAsia="方正仿宋_GBK" w:cs="方正仿宋_GBK" w:hint="eastAsia"/>
          <w:sz w:val="32"/>
          <w:szCs w:val="32"/>
          <w:lang w:eastAsia="zh-CN"/>
        </w:rPr>
        <w:t>市场监督局移送为主，</w:t>
      </w:r>
      <w:r>
        <w:rPr>
          <w:rFonts w:ascii="方正仿宋_GBK" w:eastAsia="方正仿宋_GBK" w:cs="方正仿宋_GBK"/>
          <w:sz w:val="32"/>
          <w:szCs w:val="32"/>
          <w:lang w:eastAsia="zh-CN"/>
        </w:rPr>
        <w:t>6起案件都是</w:t>
      </w:r>
      <w:r>
        <w:rPr>
          <w:rFonts w:ascii="方正仿宋_GBK" w:eastAsia="方正仿宋_GBK" w:cs="方正仿宋_GBK" w:hint="eastAsia"/>
          <w:sz w:val="32"/>
          <w:szCs w:val="32"/>
          <w:lang w:eastAsia="zh-CN"/>
        </w:rPr>
        <w:t>以农户生产农药残留不符合农产品质量安全标准</w:t>
      </w:r>
      <w:r>
        <w:rPr>
          <w:rFonts w:ascii="方正仿宋_GBK" w:eastAsia="方正仿宋_GBK" w:cs="方正仿宋_GBK"/>
          <w:sz w:val="32"/>
          <w:szCs w:val="32"/>
          <w:lang w:eastAsia="zh-CN"/>
        </w:rPr>
        <w:t>的农产品</w:t>
      </w:r>
      <w:r>
        <w:rPr>
          <w:rFonts w:ascii="方正仿宋_GBK" w:eastAsia="方正仿宋_GBK" w:cs="方正仿宋_GBK" w:hint="eastAsia"/>
          <w:sz w:val="32"/>
          <w:szCs w:val="32"/>
          <w:lang w:eastAsia="zh-CN"/>
        </w:rPr>
        <w:t>案。</w:t>
      </w:r>
      <w:r>
        <w:rPr>
          <w:rFonts w:ascii="方正仿宋_GBK" w:eastAsia="方正仿宋_GBK" w:cs="方正仿宋_GBK"/>
          <w:sz w:val="32"/>
          <w:szCs w:val="32"/>
          <w:lang w:eastAsia="zh-CN"/>
        </w:rPr>
        <w:t>基本都是在自家院落种植的产品，产量虽小，社会危害较大。</w:t>
      </w:r>
      <w:bookmarkStart w:id="0" w:name="_GoBack"/>
      <w:bookmarkEnd w:id="0"/>
      <w:r>
        <w:rPr>
          <w:rFonts w:ascii="方正仿宋_GBK" w:eastAsia="方正仿宋_GBK" w:cs="方正仿宋_GBK" w:hint="eastAsia"/>
          <w:sz w:val="32"/>
          <w:szCs w:val="32"/>
        </w:rPr>
        <w:t>应提高</w:t>
      </w:r>
      <w:r>
        <w:rPr>
          <w:rFonts w:ascii="方正仿宋_GBK" w:eastAsia="方正仿宋_GBK" w:cs="方正仿宋_GBK"/>
          <w:sz w:val="32"/>
          <w:szCs w:val="32"/>
        </w:rPr>
        <w:t>广大百姓的科学用药意识和农产品质量安全意识，严格落实达标合格证制度。</w:t>
      </w:r>
    </w:p>
    <w:p>
      <w:pPr>
        <w:ind w:firstLineChars="200" w:firstLine="640"/>
        <w:rPr>
          <w:rFonts w:ascii="方正仿宋_GBK" w:eastAsia="方正仿宋_GBK" w:cs="方正仿宋_GBK"/>
          <w:sz w:val="32"/>
          <w:szCs w:val="32"/>
        </w:rPr>
      </w:pPr>
      <w:r>
        <w:rPr>
          <w:rFonts w:ascii="方正仿宋_GBK" w:eastAsia="方正仿宋_GBK" w:cs="方正仿宋_GBK"/>
          <w:sz w:val="32"/>
          <w:szCs w:val="32"/>
        </w:rPr>
        <w:t>保障农产品质量安全工作任重道远。不仅需要法治的力量，更需要全社会的共同关注。</w:t>
      </w:r>
    </w:p>
    <w:p>
      <w:pPr>
        <w:ind w:firstLineChars="200" w:firstLine="640"/>
        <w:rPr>
          <w:rFonts w:ascii="方正仿宋_GBK" w:eastAsia="方正仿宋_GBK" w:cs="方正仿宋_GBK"/>
          <w:sz w:val="32"/>
          <w:szCs w:val="32"/>
        </w:rPr>
      </w:pPr>
    </w:p>
    <w:p>
      <w:pPr>
        <w:ind w:firstLineChars="200" w:firstLine="640"/>
        <w:rPr>
          <w:rFonts w:ascii="方正仿宋_GBK" w:eastAsia="方正仿宋_GBK" w:cs="方正仿宋_GBK"/>
          <w:sz w:val="32"/>
          <w:szCs w:val="32"/>
        </w:rPr>
      </w:pPr>
    </w:p>
    <w:p>
      <w:pPr>
        <w:ind w:firstLineChars="200" w:firstLine="640"/>
        <w:rPr>
          <w:rFonts w:ascii="方正仿宋_GBK" w:eastAsia="方正仿宋_GBK" w:cs="方正仿宋_GBK"/>
          <w:sz w:val="32"/>
          <w:szCs w:val="32"/>
        </w:rPr>
      </w:pPr>
    </w:p>
    <w:p>
      <w:pPr>
        <w:ind w:firstLineChars="1600" w:firstLine="5120"/>
        <w:rPr>
          <w:rFonts w:ascii="方正仿宋_GBK" w:eastAsia="方正仿宋_GBK" w:cs="方正仿宋_GBK"/>
          <w:sz w:val="32"/>
          <w:szCs w:val="32"/>
        </w:rPr>
      </w:pPr>
      <w:r>
        <w:rPr>
          <w:rFonts w:ascii="方正仿宋_GBK" w:eastAsia="方正仿宋_GBK" w:cs="方正仿宋_GBK"/>
          <w:sz w:val="32"/>
          <w:szCs w:val="32"/>
        </w:rPr>
        <w:t>2024年12月30日</w:t>
      </w:r>
    </w:p>
    <w:sectPr>
      <w:pgSz w:w="11906" w:h="16838"/>
      <w:pgMar w:top="1440" w:right="1800" w:bottom="1440" w:left="1800" w:header="851" w:footer="992" w:gutter="0"/>
      <w:docGrid w:type="lines" w:linePitch="312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方正小标宋_GBK">
    <w:panose1 w:val="02000000000000000000"/>
    <w:charset w:val="86"/>
    <w:family w:val="auto"/>
    <w:pitch w:val="variable"/>
    <w:sig w:usb0="A00002BF" w:usb1="38CF7CFA" w:usb2="00082016" w:usb3="00000000" w:csb0="00040001" w:csb1="00000000"/>
  </w:font>
  <w:font w:name="方正仿宋_GBK">
    <w:panose1 w:val="02000000000000000000"/>
    <w:charset w:val="86"/>
    <w:family w:val="auto"/>
    <w:pitch w:val="variable"/>
    <w:sig w:usb0="A00002BF" w:usb1="38CF7CFA" w:usb2="00082016" w:usb3="00000000" w:csb0="00040001" w:csb1="00000000"/>
  </w:font>
  <w:font w:name="方正楷体_GBK">
    <w:panose1 w:val="02000000000000000000"/>
    <w:charset w:val="86"/>
    <w:family w:val="auto"/>
    <w:pitch w:val="variable"/>
    <w:sig w:usb0="A00002BF" w:usb1="38CF7CFA" w:usb2="00082016" w:usb3="00000000" w:csb0="00040001" w:csb1="00000000"/>
  </w:font>
  <w:font w:name="Times New Roman">
    <w:altName w:val="DejaVu Sans"/>
    <w:panose1 w:val="02020603050405020304"/>
    <w:charset w:val="00"/>
    <w:family w:val="auto"/>
    <w:pitch w:val="variable"/>
    <w:sig w:usb0="00000A87" w:usb1="00000000" w:usb2="00000000" w:usb3="00000000" w:csb0="400001BF" w:csb1="DFF70000"/>
  </w:font>
  <w:font w:name="宋体">
    <w:altName w:val="方正书宋_GBK"/>
    <w:panose1 w:val="00000000000000000000"/>
    <w:charset w:val="00"/>
    <w:family w:val="auto"/>
    <w:pitch w:val="variable"/>
    <w:sig w:usb0="00000000" w:usb1="00000000" w:usb2="00000000" w:usb3="00000000" w:csb0="00000000" w:csb1="00000000"/>
  </w:font>
  <w:font w:name="Calibri">
    <w:altName w:val="DejaVu Sans"/>
    <w:panose1 w:val="020F0502020204030204"/>
    <w:charset w:val="00"/>
    <w:family w:val="swiss"/>
    <w:pitch w:val="variable"/>
    <w:sig w:usb0="00000000" w:usb1="00000000" w:usb2="00000001" w:usb3="00000000" w:csb0="0000019F" w:csb1="00000000"/>
  </w:font>
  <w:font w:name="Arial">
    <w:altName w:val="DejaVu Sans"/>
    <w:panose1 w:val="020B0604020202020204"/>
    <w:charset w:val="01"/>
    <w:family w:val="swiss"/>
    <w:pitch w:val="variable"/>
    <w:sig w:usb0="E0002AFF" w:usb1="C0007843" w:usb2="00000009" w:usb3="00000000" w:csb0="400001FF" w:csb1="FFFF0000"/>
  </w:font>
  <w:font w:name="方正兰亭黑_GBK">
    <w:panose1 w:val="02000000000000000000"/>
    <w:charset w:val="86"/>
    <w:family w:val="script"/>
    <w:pitch w:val="variable"/>
    <w:sig w:usb0="A00002BF" w:usb1="3ACF7CFA" w:usb2="00080016" w:usb3="00000000" w:csb0="00040001" w:csb1="00000000"/>
  </w:font>
  <w:font w:name="黑体">
    <w:altName w:val="方正黑体_GBK"/>
    <w:panose1 w:val="00000000000000000000"/>
    <w:charset w:val="00"/>
    <w:family w:val="auto"/>
    <w:pitch w:val="variable"/>
    <w:sig w:usb0="00000000" w:usb1="00000000" w:usb2="00000000" w:usb3="00000000" w:csb0="00000000" w:csb1="00000000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 xmlns:mc="http://schemas.openxmlformats.org/markup-compatibility/2006" xmlns:w14="http://schemas.microsoft.com/office/word/2010/wordml">
  <w:abstractNum w:abstractNumId="0">
    <w:nsid w:val="FFD4BEFD"/>
    <w:multiLevelType w:val="singleLevel"/>
    <w:tmpl w:val="FFD4BEFD"/>
    <w:lvl w:ilvl="0">
      <w:start w:val="1"/>
      <w:numFmt w:val="chineseCounting"/>
      <w:lvlRestart w:val="0"/>
      <w:suff w:val="nothing"/>
      <w:lvlText w:val="%1、"/>
      <w:lvlJc w:val="left"/>
      <w:pPr>
        <w:ind w:left="0" w:hanging="0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>
  <w:zoom w:percent="100"/>
  <w:bordersDoNotSurroundHeader/>
  <w:bordersDoNotSurroundFooter/>
  <w:documentProtection w:edit="readOnly"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ulTrailSpace/>
    <w:doNotExpandShiftReturn/>
    <w:adjustLineHeightInTable/>
    <w:compatSetting w:name="compatibilityMode" w:uri="http://schemas.microsoft.com/office/word" w:val="14"/>
  </w:compat>
</w:settings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style w:type="paragraph" w:default="1" w:styleId="0">
    <w:name w:val="Normal"/>
    <w:pPr>
      <w:widowControl w:val="0"/>
      <w:jc w:val="both"/>
    </w:pPr>
    <w:rPr>
      <w:rFonts w:ascii="Calibri" w:eastAsia="宋体" w:cs="Arial" w:hAnsi="Calibri"/>
      <w:kern w:val="2"/>
      <w:sz w:val="21"/>
      <w:szCs w:val="24"/>
      <w:lang w:val="en-US" w:eastAsia="zh-CN" w:bidi="ar-SA"/>
    </w:rPr>
  </w:style>
  <w:style w:type="paragraph" w:styleId="1">
    <w:name w:val="heading 1"/>
    <w:basedOn w:val="0"/>
    <w:next w:val="0"/>
    <w:pPr>
      <w:keepNext/>
      <w:keepLines/>
      <w:widowControl w:val="0"/>
      <w:spacing w:before="340" w:after="330" w:line="578" w:lineRule="auto"/>
      <w:outlineLvl w:val="0"/>
    </w:pPr>
    <w:rPr>
      <w:b/>
      <w:bCs/>
      <w:kern w:val="44"/>
      <w:sz w:val="44"/>
    </w:rPr>
  </w:style>
  <w:style w:type="paragraph" w:styleId="2">
    <w:name w:val="heading 2"/>
    <w:basedOn w:val="0"/>
    <w:next w:val="0"/>
    <w:pPr>
      <w:keepNext/>
      <w:keepLines/>
      <w:widowControl w:val="0"/>
      <w:spacing w:before="260" w:after="260" w:line="415" w:lineRule="auto"/>
      <w:outlineLvl w:val="1"/>
    </w:pPr>
    <w:rPr>
      <w:rFonts w:ascii="方正兰亭黑_GBK" w:eastAsia="黑体" w:hAnsi="方正兰亭黑_GBK"/>
      <w:b/>
      <w:sz w:val="32"/>
    </w:rPr>
  </w:style>
  <w:style w:type="paragraph" w:styleId="3">
    <w:name w:val="heading 3"/>
    <w:basedOn w:val="0"/>
    <w:next w:val="0"/>
    <w:pPr>
      <w:keepNext/>
      <w:keepLines/>
      <w:widowControl w:val="0"/>
      <w:spacing w:before="260" w:after="260" w:line="415" w:lineRule="auto"/>
      <w:outlineLvl w:val="2"/>
    </w:pPr>
    <w:rPr>
      <w:b/>
      <w:sz w:val="32"/>
    </w:rPr>
  </w:style>
  <w:style w:type="character" w:default="1" w:styleId="10">
    <w:name w:val="Default Paragraph Font"/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styles" Target="styles.xml"/><Relationship Id="rId3" Type="http://schemas.openxmlformats.org/officeDocument/2006/relationships/numbering" Target="numbering.xml"/><Relationship Id="rId4" Type="http://schemas.openxmlformats.org/officeDocument/2006/relationships/fontTable" Target="fontTable.xml"/></Relationships>
</file>

<file path=docProps/app.xml><?xml version="1.0" encoding="utf-8"?>
<Properties xmlns="http://schemas.openxmlformats.org/officeDocument/2006/extended-properties">
  <Template>Normal.eit</Template>
  <TotalTime>21</TotalTime>
  <Application>Yozo_Office27021597764231179</Application>
  <Pages>2</Pages>
  <Words>719</Words>
  <Characters>761</Characters>
  <Lines>40</Lines>
  <Paragraphs>12</Paragraphs>
  <CharactersWithSpaces>761</CharactersWithSpac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:creator>baixin</dc:creator>
  <cp:lastModifiedBy>baixin</cp:lastModifiedBy>
  <cp:revision>1</cp:revision>
  <dcterms:created xsi:type="dcterms:W3CDTF">2025-11-17T15:50:00Z</dcterms:created>
  <dcterms:modified xsi:type="dcterms:W3CDTF">2025-11-18T02:27:15Z</dcterms:modified>
</cp:coreProperties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KSOProductBuildVer">
    <vt:lpwstr>2052-11.1.0.10702</vt:lpwstr>
  </property>
</Properties>
</file>